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001-35126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Guanjie Building, Southeast 1st Floor 10# Jiuxianqiao East Road</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Chaoyang District Beijing 100016</w:t>
      </w:r>
    </w:p>
    <w:p>
      <w:pPr>
        <w:ind w:left="4240"/>
        <w:spacing w:after="0" w:line="230" w:lineRule="auto"/>
        <w:rPr>
          <w:sz w:val="20"/>
          <w:szCs w:val="20"/>
          <w:color w:val="auto"/>
        </w:rPr>
      </w:pPr>
      <w:r>
        <w:rPr>
          <w:rFonts w:ascii="Times New Roman" w:cs="Times New Roman" w:eastAsia="Times New Roman" w:hAnsi="Times New Roman"/>
          <w:sz w:val="22"/>
          <w:szCs w:val="22"/>
          <w:color w:val="auto"/>
        </w:rPr>
        <w:t>The People’s Republic of China</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64"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VNET Group,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Sheng Chen</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titled “VNET Announces Repurchase of 30% of Its Convertible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VNET Announces Repurchase of 30% of Its Convertible Senior Notes due 2027</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BEIJING, October 27, 2026 /PRNewswire/ -- VNET Group, Inc. (Nasdaq: VNET) (“VNET” or the “Company”), a leading carrier- and cloud-neutral internet data center services provider in China, today announced that it has repurchased approximately US$75.3 million in aggregate principal amount of its outstanding US$250.0 million 2.00% Convertible Senior Notes due 2027 (the “Notes”), representing approximately 30% of the outstanding Notes. The repurchases were effected through privately negotiated transactions for an aggregate cash consideration (including accrued interest) of approximately US$80.0 million (the “Repurchases”).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 This news release shall not constitute an offer to purchase, or a redemption notice for, any of the Company’s outstanding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and government entities to blue-chip enterprises and small- to mid-sized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as well as VNET's strategic and operational plans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VNET IR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8456 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ir@vnet.com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2026-10-27T07:33:53Z</dcterms:created>
  <dcterms:modified xsi:type="dcterms:W3CDTF">2026-10-27T07:33:53Z</dcterms:modified>
</cp:coreProperties>
</file>